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DACE4" w14:textId="6762A7D6" w:rsidR="00FD278B" w:rsidRDefault="00325CF9">
      <w:r w:rsidRPr="00494C8A">
        <w:rPr>
          <w:rFonts w:ascii="Calibri" w:hAnsi="Calibri"/>
          <w:noProof/>
        </w:rPr>
        <w:drawing>
          <wp:inline distT="0" distB="0" distL="0" distR="0" wp14:anchorId="4ECDA019" wp14:editId="0CAD0948">
            <wp:extent cx="5943600" cy="817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17245"/>
                    </a:xfrm>
                    <a:prstGeom prst="rect">
                      <a:avLst/>
                    </a:prstGeom>
                    <a:noFill/>
                    <a:ln>
                      <a:noFill/>
                    </a:ln>
                  </pic:spPr>
                </pic:pic>
              </a:graphicData>
            </a:graphic>
          </wp:inline>
        </w:drawing>
      </w:r>
    </w:p>
    <w:p w14:paraId="6E586DF7" w14:textId="517F846E" w:rsidR="00FD278B" w:rsidRDefault="00FD278B"/>
    <w:p w14:paraId="240858CA" w14:textId="5EAC22BE" w:rsidR="00FD278B" w:rsidRDefault="00325CF9" w:rsidP="00325CF9">
      <w:pPr>
        <w:jc w:val="right"/>
      </w:pPr>
      <w:r>
        <w:t>February 26,</w:t>
      </w:r>
      <w:r w:rsidR="00227B0D">
        <w:t xml:space="preserve"> </w:t>
      </w:r>
      <w:r>
        <w:t>2018</w:t>
      </w:r>
    </w:p>
    <w:p w14:paraId="76C891F6" w14:textId="1803507F" w:rsidR="00FD278B" w:rsidRDefault="00325CF9" w:rsidP="00325CF9">
      <w:pPr>
        <w:spacing w:after="0"/>
      </w:pPr>
      <w:r>
        <w:t>María Luisa Ribeiro Viotti</w:t>
      </w:r>
    </w:p>
    <w:p w14:paraId="5233D7D3" w14:textId="662A4B1A" w:rsidR="00325CF9" w:rsidRDefault="00325CF9" w:rsidP="00325CF9">
      <w:pPr>
        <w:spacing w:after="0"/>
      </w:pPr>
      <w:r>
        <w:t>Chief of Staff</w:t>
      </w:r>
    </w:p>
    <w:p w14:paraId="7F901B34" w14:textId="6DE00DB3" w:rsidR="00325CF9" w:rsidRDefault="00325CF9" w:rsidP="00325CF9">
      <w:pPr>
        <w:spacing w:after="0"/>
      </w:pPr>
      <w:r>
        <w:t>United Nations</w:t>
      </w:r>
    </w:p>
    <w:p w14:paraId="477A6EDC" w14:textId="6B854DAB" w:rsidR="00325CF9" w:rsidRDefault="00325CF9" w:rsidP="00325CF9">
      <w:pPr>
        <w:spacing w:after="0"/>
      </w:pPr>
      <w:r>
        <w:t>New York, New York 10017</w:t>
      </w:r>
    </w:p>
    <w:p w14:paraId="1981C542" w14:textId="77777777" w:rsidR="00325CF9" w:rsidRDefault="00325CF9" w:rsidP="00325CF9">
      <w:pPr>
        <w:spacing w:after="0"/>
      </w:pPr>
    </w:p>
    <w:p w14:paraId="66952BCE" w14:textId="266854C4" w:rsidR="00FD278B" w:rsidRDefault="00FD278B">
      <w:r>
        <w:t>Dear Ms. Viotti,</w:t>
      </w:r>
    </w:p>
    <w:p w14:paraId="4327B246" w14:textId="0FFDC9B8" w:rsidR="00FD278B" w:rsidRDefault="004630A9">
      <w:r>
        <w:t>I</w:t>
      </w:r>
      <w:r w:rsidR="00DB1FCE">
        <w:t xml:space="preserve"> am writing on behalf of GAP’s whistleblower clients at the United Nations who have requested protection from retaliation through the Ethics Office</w:t>
      </w:r>
      <w:r>
        <w:t xml:space="preserve"> and been refused it</w:t>
      </w:r>
      <w:r w:rsidR="00DB1FCE">
        <w:t xml:space="preserve">. </w:t>
      </w:r>
      <w:r>
        <w:t xml:space="preserve">Recently, </w:t>
      </w:r>
      <w:r w:rsidR="00DB1FCE">
        <w:t>I have see</w:t>
      </w:r>
      <w:r>
        <w:t>n</w:t>
      </w:r>
      <w:r w:rsidR="00DB1FCE">
        <w:t xml:space="preserve"> your correspondence with David Kaye, the UN Special Rapporteur for Freedom of Expression, and I would like to summarize with you the contested points of the exchange.</w:t>
      </w:r>
    </w:p>
    <w:p w14:paraId="7CB27F47" w14:textId="045CA3B1" w:rsidR="00990010" w:rsidRDefault="00DB1FCE" w:rsidP="00990010">
      <w:r>
        <w:t>In your letter, you assert that the Secretary General is committed to strong protections from reprisal for whistleblowers.  In my experience</w:t>
      </w:r>
      <w:r w:rsidR="004630A9">
        <w:t>,</w:t>
      </w:r>
      <w:r>
        <w:t xml:space="preserve"> investigating many United Nations cases, such a commitment would represent a departure from the actions taken by the previous Secretary General.  </w:t>
      </w:r>
      <w:r w:rsidR="00EB77E4">
        <w:t xml:space="preserve">A review of the </w:t>
      </w:r>
      <w:r w:rsidR="00E05295">
        <w:t xml:space="preserve">chronology of </w:t>
      </w:r>
      <w:r w:rsidR="00EB77E4">
        <w:t>binding actions related to UN whistleblowers</w:t>
      </w:r>
      <w:r w:rsidR="00E05295">
        <w:t xml:space="preserve"> </w:t>
      </w:r>
      <w:r w:rsidR="006D0223">
        <w:t>taken by Kofi Annan and Ban Ki-Moon</w:t>
      </w:r>
      <w:r w:rsidR="00EB77E4">
        <w:t xml:space="preserve"> is revealing</w:t>
      </w:r>
      <w:r w:rsidR="009D6B07">
        <w:t>.</w:t>
      </w:r>
      <w:r w:rsidR="00E05295">
        <w:t xml:space="preserve"> Since 2005, t</w:t>
      </w:r>
      <w:r w:rsidR="00981B6E">
        <w:t xml:space="preserve">he UN has been through multiple iterations </w:t>
      </w:r>
      <w:r w:rsidR="006D0223">
        <w:t xml:space="preserve">of </w:t>
      </w:r>
      <w:r w:rsidR="007F2346">
        <w:t xml:space="preserve">anti-retaliation </w:t>
      </w:r>
      <w:r w:rsidR="00981B6E">
        <w:t>policy reforms</w:t>
      </w:r>
      <w:r w:rsidR="00990010">
        <w:t>:</w:t>
      </w:r>
      <w:r w:rsidR="00981B6E">
        <w:t xml:space="preserve"> </w:t>
      </w:r>
    </w:p>
    <w:p w14:paraId="6E4C624F" w14:textId="44A17F8A" w:rsidR="00990010" w:rsidRDefault="00981B6E" w:rsidP="00990010">
      <w:pPr>
        <w:pStyle w:val="ListParagraph"/>
        <w:numPr>
          <w:ilvl w:val="0"/>
          <w:numId w:val="2"/>
        </w:numPr>
      </w:pPr>
      <w:r>
        <w:t>SGB/2005/21</w:t>
      </w:r>
      <w:r w:rsidR="00EF5A2F">
        <w:t>, establish</w:t>
      </w:r>
      <w:r w:rsidR="00C858C6">
        <w:t>ing</w:t>
      </w:r>
      <w:r w:rsidR="00EF5A2F">
        <w:t xml:space="preserve"> an anti-retaliation policy</w:t>
      </w:r>
      <w:r w:rsidR="00136664">
        <w:t>;</w:t>
      </w:r>
      <w:r w:rsidR="00EF5A2F">
        <w:t xml:space="preserve"> </w:t>
      </w:r>
    </w:p>
    <w:p w14:paraId="3ED36519" w14:textId="4D7E86C4" w:rsidR="00990010" w:rsidRDefault="00EF5A2F" w:rsidP="00990010">
      <w:pPr>
        <w:pStyle w:val="ListParagraph"/>
        <w:numPr>
          <w:ilvl w:val="0"/>
          <w:numId w:val="2"/>
        </w:numPr>
      </w:pPr>
      <w:r w:rsidRPr="00EF5A2F">
        <w:t>ST/SGB/2005/22</w:t>
      </w:r>
      <w:r>
        <w:t>,</w:t>
      </w:r>
      <w:r w:rsidR="00C858C6">
        <w:t xml:space="preserve"> </w:t>
      </w:r>
      <w:r>
        <w:t>establish</w:t>
      </w:r>
      <w:r w:rsidR="00C858C6">
        <w:t>ing</w:t>
      </w:r>
      <w:r>
        <w:t xml:space="preserve"> an Ethics Office to enforce the policy, </w:t>
      </w:r>
    </w:p>
    <w:p w14:paraId="257E297D" w14:textId="396D007C" w:rsidR="00990010" w:rsidRDefault="00EF5A2F" w:rsidP="00990010">
      <w:pPr>
        <w:pStyle w:val="ListParagraph"/>
        <w:numPr>
          <w:ilvl w:val="0"/>
          <w:numId w:val="2"/>
        </w:numPr>
      </w:pPr>
      <w:r>
        <w:t xml:space="preserve">SGB/2007/11, </w:t>
      </w:r>
      <w:r w:rsidR="00C858C6">
        <w:t xml:space="preserve">making the previous SGBs inapplicable </w:t>
      </w:r>
      <w:r>
        <w:t xml:space="preserve">to most </w:t>
      </w:r>
      <w:r w:rsidR="00136664">
        <w:t xml:space="preserve">whistleblower cases across the UN </w:t>
      </w:r>
      <w:bookmarkStart w:id="0" w:name="_GoBack"/>
      <w:r w:rsidR="00136664">
        <w:t xml:space="preserve">system, including the most </w:t>
      </w:r>
      <w:r>
        <w:t>serious case to surface</w:t>
      </w:r>
      <w:r w:rsidR="00990010">
        <w:t xml:space="preserve"> after the two previous SGBs were issued.  </w:t>
      </w:r>
    </w:p>
    <w:bookmarkEnd w:id="0"/>
    <w:p w14:paraId="4E1DFC28" w14:textId="2062DABE" w:rsidR="00990010" w:rsidRDefault="00990010" w:rsidP="00990010">
      <w:pPr>
        <w:pStyle w:val="ListParagraph"/>
        <w:numPr>
          <w:ilvl w:val="0"/>
          <w:numId w:val="2"/>
        </w:numPr>
      </w:pPr>
      <w:r>
        <w:t>A/RES/61/261</w:t>
      </w:r>
      <w:r w:rsidR="00C858C6">
        <w:t>,</w:t>
      </w:r>
      <w:r>
        <w:t xml:space="preserve"> reform</w:t>
      </w:r>
      <w:r w:rsidR="00C858C6">
        <w:t>ing</w:t>
      </w:r>
      <w:r>
        <w:t xml:space="preserve"> the Justice System</w:t>
      </w:r>
      <w:r w:rsidR="00C858C6">
        <w:t xml:space="preserve"> to</w:t>
      </w:r>
      <w:r w:rsidR="00136664">
        <w:t xml:space="preserve"> allow appeal</w:t>
      </w:r>
      <w:r w:rsidR="00C858C6">
        <w:t>s</w:t>
      </w:r>
      <w:r w:rsidR="00136664">
        <w:t xml:space="preserve"> of unfavorable tribunal rulings;</w:t>
      </w:r>
    </w:p>
    <w:p w14:paraId="0D807BFC" w14:textId="533F8E95" w:rsidR="00990010" w:rsidRDefault="00990010" w:rsidP="00990010">
      <w:pPr>
        <w:pStyle w:val="ListParagraph"/>
        <w:numPr>
          <w:ilvl w:val="0"/>
          <w:numId w:val="2"/>
        </w:numPr>
      </w:pPr>
      <w:r>
        <w:t>UNDT/NY/2009/044 –</w:t>
      </w:r>
      <w:r w:rsidR="00C858C6">
        <w:t xml:space="preserve"> </w:t>
      </w:r>
      <w:r>
        <w:t>awarding damages to UN whistleblower James Wasserstrom</w:t>
      </w:r>
      <w:r w:rsidR="00136664">
        <w:t>, who disclosed a far-reaching kick-back scheme in Kosovo and lost his job</w:t>
      </w:r>
      <w:r>
        <w:t>;</w:t>
      </w:r>
    </w:p>
    <w:p w14:paraId="2299BA61" w14:textId="23D608B8" w:rsidR="00990010" w:rsidRDefault="00990010" w:rsidP="00990010">
      <w:pPr>
        <w:pStyle w:val="ListParagraph"/>
        <w:numPr>
          <w:ilvl w:val="0"/>
          <w:numId w:val="2"/>
        </w:numPr>
      </w:pPr>
      <w:r>
        <w:t xml:space="preserve">UNAT/2014/457 – Vacating Wasserstrom’s favorable ruling and withdrawing jurisdiction of the tribunal system from </w:t>
      </w:r>
      <w:r w:rsidR="000C0B8B">
        <w:t>whistleblower disputes</w:t>
      </w:r>
      <w:r w:rsidR="00E05295">
        <w:t xml:space="preserve"> in response to the Secretary General’s appeal o</w:t>
      </w:r>
      <w:r w:rsidR="00C858C6">
        <w:t>f UNAT/NY/2009/044 on</w:t>
      </w:r>
      <w:r w:rsidR="00E05295">
        <w:t xml:space="preserve"> procedural grounds;</w:t>
      </w:r>
    </w:p>
    <w:p w14:paraId="3BCDFB2C" w14:textId="6ABF22FE" w:rsidR="00981B6E" w:rsidRDefault="00990010" w:rsidP="00990010">
      <w:pPr>
        <w:pStyle w:val="ListParagraph"/>
        <w:numPr>
          <w:ilvl w:val="0"/>
          <w:numId w:val="2"/>
        </w:numPr>
      </w:pPr>
      <w:r>
        <w:t>SGB/2017/2, purport</w:t>
      </w:r>
      <w:r w:rsidR="004630A9">
        <w:t>ing</w:t>
      </w:r>
      <w:r>
        <w:t xml:space="preserve"> to </w:t>
      </w:r>
      <w:r w:rsidR="000C0B8B">
        <w:t>restore</w:t>
      </w:r>
      <w:r>
        <w:t xml:space="preserve"> </w:t>
      </w:r>
      <w:r w:rsidR="000C0B8B">
        <w:t>tribunal jurisdiction over whistleblower disputes, but d</w:t>
      </w:r>
      <w:r w:rsidR="004630A9">
        <w:t>oing</w:t>
      </w:r>
      <w:r w:rsidR="000C0B8B">
        <w:t xml:space="preserve"> so in only a </w:t>
      </w:r>
      <w:r w:rsidR="006D0223">
        <w:t>small</w:t>
      </w:r>
      <w:r w:rsidR="000C0B8B">
        <w:t xml:space="preserve"> percentage of cases</w:t>
      </w:r>
      <w:r w:rsidR="006D0223">
        <w:t xml:space="preserve"> (based on current statistics, less than 3 percent</w:t>
      </w:r>
      <w:r w:rsidR="004630A9">
        <w:t xml:space="preserve"> of them</w:t>
      </w:r>
      <w:r w:rsidR="006D0223">
        <w:t>)</w:t>
      </w:r>
      <w:r w:rsidR="000C0B8B">
        <w:t>.</w:t>
      </w:r>
    </w:p>
    <w:p w14:paraId="5D5C069B" w14:textId="2E76484B" w:rsidR="000C0B8B" w:rsidRDefault="000C0B8B" w:rsidP="000C0B8B">
      <w:pPr>
        <w:pStyle w:val="ListParagraph"/>
        <w:ind w:left="360"/>
      </w:pPr>
    </w:p>
    <w:p w14:paraId="60805883" w14:textId="1C7A756F" w:rsidR="006D0223" w:rsidRDefault="00D22E93" w:rsidP="000C0B8B">
      <w:pPr>
        <w:pStyle w:val="ListParagraph"/>
        <w:ind w:left="0"/>
      </w:pPr>
      <w:r>
        <w:t>The record shows a clear pattern.  The Secretariat or the General Assembly takes a positive step to protect whistleblowers.  Subsequently</w:t>
      </w:r>
      <w:r w:rsidR="00EB77E4">
        <w:t>,</w:t>
      </w:r>
      <w:r w:rsidR="004630A9">
        <w:t xml:space="preserve"> </w:t>
      </w:r>
      <w:r w:rsidR="00316BFE">
        <w:t xml:space="preserve">Secretary General </w:t>
      </w:r>
      <w:r w:rsidR="006D0223">
        <w:t xml:space="preserve">Ban Ki-Moon </w:t>
      </w:r>
      <w:r w:rsidR="00316BFE">
        <w:t>backtrack</w:t>
      </w:r>
      <w:r w:rsidR="006D0223">
        <w:t>ed</w:t>
      </w:r>
      <w:r w:rsidR="00316BFE">
        <w:t xml:space="preserve"> in an obscure but crucial way, </w:t>
      </w:r>
      <w:r w:rsidR="00EB77E4">
        <w:t>(</w:t>
      </w:r>
      <w:r w:rsidR="00316BFE">
        <w:t>e.g. SGB/2007/11 and the Secretary General’s appeal of UNDT/NY/2009/044</w:t>
      </w:r>
      <w:r w:rsidR="00EB77E4">
        <w:t>)</w:t>
      </w:r>
      <w:r w:rsidR="00316BFE">
        <w:t xml:space="preserve"> leaving whistleblowers without an objective review and without access to the formal justice system. </w:t>
      </w:r>
    </w:p>
    <w:p w14:paraId="632E3BC6" w14:textId="77777777" w:rsidR="006D0223" w:rsidRDefault="006D0223" w:rsidP="000C0B8B">
      <w:pPr>
        <w:pStyle w:val="ListParagraph"/>
        <w:ind w:left="0"/>
      </w:pPr>
    </w:p>
    <w:p w14:paraId="7ED459C3" w14:textId="629B59DC" w:rsidR="00D22E93" w:rsidRDefault="00316BFE" w:rsidP="000C0B8B">
      <w:pPr>
        <w:pStyle w:val="ListParagraph"/>
        <w:ind w:left="0"/>
      </w:pPr>
      <w:r>
        <w:lastRenderedPageBreak/>
        <w:t>SGB/2017/2 represents a</w:t>
      </w:r>
      <w:r w:rsidR="006D0223">
        <w:t>n</w:t>
      </w:r>
      <w:r>
        <w:t xml:space="preserve"> advance by management.  </w:t>
      </w:r>
      <w:r w:rsidR="004630A9">
        <w:t xml:space="preserve">Through this </w:t>
      </w:r>
      <w:r>
        <w:t>measure, the Secretariat appear</w:t>
      </w:r>
      <w:r w:rsidR="006D0223">
        <w:t xml:space="preserve">ed to extend </w:t>
      </w:r>
      <w:r>
        <w:t xml:space="preserve">access </w:t>
      </w:r>
      <w:r w:rsidR="004630A9">
        <w:t xml:space="preserve">for whistleblowers </w:t>
      </w:r>
      <w:r>
        <w:t>to the formal justice system</w:t>
      </w:r>
      <w:r w:rsidR="004630A9">
        <w:t>.  I</w:t>
      </w:r>
      <w:r w:rsidR="006D0223">
        <w:t xml:space="preserve">f the operations of the Ethics Office are un-reformed, </w:t>
      </w:r>
      <w:r w:rsidR="004630A9">
        <w:t>however, such</w:t>
      </w:r>
      <w:r>
        <w:t xml:space="preserve"> access is provided only in the small percentage of cases that manage to clear a high hurdle raised by th</w:t>
      </w:r>
      <w:r w:rsidR="006D0223">
        <w:t>at</w:t>
      </w:r>
      <w:r>
        <w:t xml:space="preserve"> Office.</w:t>
      </w:r>
    </w:p>
    <w:p w14:paraId="307DD183" w14:textId="77777777" w:rsidR="00D22E93" w:rsidRDefault="00D22E93" w:rsidP="000C0B8B">
      <w:pPr>
        <w:pStyle w:val="ListParagraph"/>
        <w:ind w:left="0"/>
      </w:pPr>
    </w:p>
    <w:p w14:paraId="0AC032E0" w14:textId="7B239A75" w:rsidR="000C0B8B" w:rsidRDefault="000C0B8B" w:rsidP="000C0B8B">
      <w:pPr>
        <w:pStyle w:val="ListParagraph"/>
        <w:ind w:left="0"/>
      </w:pPr>
      <w:r>
        <w:t xml:space="preserve">The Government Accountability Project, which has made repeated efforts in good faith to advise the Secretariat on drafting an effective whistleblower protection policy, has run aground </w:t>
      </w:r>
      <w:r w:rsidR="00EB77E4">
        <w:t xml:space="preserve">on </w:t>
      </w:r>
      <w:r w:rsidR="007F2346">
        <w:t xml:space="preserve">endless </w:t>
      </w:r>
      <w:r>
        <w:t xml:space="preserve">semantic disputes over what is meant by “external,” </w:t>
      </w:r>
      <w:r w:rsidR="00316BFE">
        <w:t>“</w:t>
      </w:r>
      <w:r>
        <w:t xml:space="preserve">independence (for the Ethics Office), </w:t>
      </w:r>
      <w:r w:rsidR="00316BFE">
        <w:t>and “</w:t>
      </w:r>
      <w:r>
        <w:t>reasonable belief</w:t>
      </w:r>
      <w:r w:rsidR="00316BFE">
        <w:t>”</w:t>
      </w:r>
      <w:r>
        <w:t xml:space="preserve"> </w:t>
      </w:r>
      <w:r w:rsidR="00316BFE">
        <w:t>(</w:t>
      </w:r>
      <w:r>
        <w:t>that misconduct has occurred</w:t>
      </w:r>
      <w:r w:rsidR="00316BFE">
        <w:t>).</w:t>
      </w:r>
      <w:r w:rsidR="00C858C6">
        <w:t xml:space="preserve">  </w:t>
      </w:r>
      <w:r w:rsidR="009D6B07">
        <w:t>An</w:t>
      </w:r>
      <w:r w:rsidR="00C858C6">
        <w:t xml:space="preserve"> objective observer intuitively knows the meaning of </w:t>
      </w:r>
      <w:r w:rsidR="00316BFE">
        <w:t xml:space="preserve">these </w:t>
      </w:r>
      <w:r w:rsidR="007F2346">
        <w:t>words.</w:t>
      </w:r>
      <w:r w:rsidR="00966A6D">
        <w:t xml:space="preserve"> Moreover, in the legal world, attorneys agree that the meaning of a term is the generally accepted definition, unless otherwise noted on justifiable grounds.</w:t>
      </w:r>
    </w:p>
    <w:p w14:paraId="544A94B9" w14:textId="29D788DE" w:rsidR="000C0B8B" w:rsidRDefault="000C0B8B" w:rsidP="000C0B8B">
      <w:pPr>
        <w:pStyle w:val="ListParagraph"/>
        <w:ind w:left="0"/>
      </w:pPr>
    </w:p>
    <w:p w14:paraId="4CAA75A1" w14:textId="09F857C9" w:rsidR="000C0B8B" w:rsidRDefault="000C0B8B" w:rsidP="000C0B8B">
      <w:pPr>
        <w:pStyle w:val="ListParagraph"/>
        <w:ind w:left="0"/>
      </w:pPr>
      <w:r>
        <w:t>The Secretary General, both the past two and the current one, defend the putative independence of the Ethics Office – which is responsible for protecting whistleblowers from retaliation – in the face of conflicts of interest</w:t>
      </w:r>
      <w:r w:rsidR="00136664">
        <w:t xml:space="preserve"> that are </w:t>
      </w:r>
      <w:r w:rsidR="007F2346">
        <w:t>structural, operational</w:t>
      </w:r>
      <w:r w:rsidR="006D0223">
        <w:t xml:space="preserve"> and</w:t>
      </w:r>
      <w:r w:rsidR="007F2346">
        <w:t xml:space="preserve"> material</w:t>
      </w:r>
      <w:r w:rsidR="006D0223">
        <w:t>.</w:t>
      </w:r>
      <w:r>
        <w:t xml:space="preserve">  The Ethics Officer does not make a decision </w:t>
      </w:r>
      <w:r w:rsidR="007F2346">
        <w:t>about an allegation of retaliation. I</w:t>
      </w:r>
      <w:r>
        <w:t>nstead</w:t>
      </w:r>
      <w:r w:rsidR="007F2346">
        <w:t>, she</w:t>
      </w:r>
      <w:r>
        <w:t xml:space="preserve"> makes a recommendation for resolving the </w:t>
      </w:r>
      <w:r w:rsidR="007F2346">
        <w:t xml:space="preserve">dispute </w:t>
      </w:r>
      <w:r>
        <w:t xml:space="preserve">to the Secretary General, who is the </w:t>
      </w:r>
      <w:r w:rsidR="00EA77CA">
        <w:t xml:space="preserve">whistleblower’s </w:t>
      </w:r>
      <w:r w:rsidRPr="00E05295">
        <w:rPr>
          <w:i/>
        </w:rPr>
        <w:t>de facto</w:t>
      </w:r>
      <w:r>
        <w:t xml:space="preserve"> adversar</w:t>
      </w:r>
      <w:r w:rsidR="00EA77CA">
        <w:t>y</w:t>
      </w:r>
      <w:r w:rsidR="00966A6D">
        <w:t xml:space="preserve"> in </w:t>
      </w:r>
      <w:r w:rsidR="00966A6D" w:rsidRPr="00966A6D">
        <w:rPr>
          <w:b/>
          <w:i/>
          <w:u w:val="single"/>
        </w:rPr>
        <w:t>any</w:t>
      </w:r>
      <w:r w:rsidR="00966A6D">
        <w:t xml:space="preserve"> dispute</w:t>
      </w:r>
      <w:r w:rsidR="00EA77CA">
        <w:t>,</w:t>
      </w:r>
      <w:r>
        <w:t xml:space="preserve"> as well as the Ethics Officer’s boss. </w:t>
      </w:r>
      <w:r w:rsidR="00136664">
        <w:t xml:space="preserve">  In effect, when a whistleblower suffers retaliation and appeals for relief from the Ethics Office, the Secretary General is both the defendant and the judge.</w:t>
      </w:r>
    </w:p>
    <w:p w14:paraId="7C525337" w14:textId="5EE902FB" w:rsidR="00136664" w:rsidRDefault="00136664" w:rsidP="000C0B8B">
      <w:pPr>
        <w:pStyle w:val="ListParagraph"/>
        <w:ind w:left="0"/>
      </w:pPr>
    </w:p>
    <w:p w14:paraId="04F37F0D" w14:textId="1011AED1" w:rsidR="00966A6D" w:rsidRDefault="00136664" w:rsidP="000C0B8B">
      <w:pPr>
        <w:pStyle w:val="ListParagraph"/>
        <w:ind w:left="0"/>
      </w:pPr>
      <w:r>
        <w:t>Nonetheless, you assure Mr. Kaye that the Secretary General takes whistleblower Emma Reilly’s case “very seriously.”  At GAP</w:t>
      </w:r>
      <w:r w:rsidR="00EA77CA">
        <w:t xml:space="preserve"> and elsewhere in the whistleblower community</w:t>
      </w:r>
      <w:r>
        <w:t xml:space="preserve">, </w:t>
      </w:r>
      <w:r w:rsidR="009D6B07">
        <w:t>these words hold little to no value in the face of conduct and application to the contrary</w:t>
      </w:r>
      <w:r>
        <w:t>. You then cite multiple levels of review, impartiality</w:t>
      </w:r>
      <w:r w:rsidR="00A63D6C">
        <w:t xml:space="preserve">, </w:t>
      </w:r>
      <w:r w:rsidR="00EA77CA">
        <w:t xml:space="preserve">and a multi-phase, multi-party </w:t>
      </w:r>
      <w:r w:rsidR="00A63D6C">
        <w:t xml:space="preserve">denial of protection that is so protracted that Ms. Reilly sought a post in Mauritania rather than continuing to work for a retaliatory supervisor in Geneva.  </w:t>
      </w:r>
    </w:p>
    <w:p w14:paraId="4DF4E670" w14:textId="77777777" w:rsidR="00966A6D" w:rsidRDefault="00966A6D" w:rsidP="000C0B8B">
      <w:pPr>
        <w:pStyle w:val="ListParagraph"/>
        <w:ind w:left="0"/>
      </w:pPr>
    </w:p>
    <w:p w14:paraId="62A3D6C4" w14:textId="2F0356AF" w:rsidR="00A63D6C" w:rsidRDefault="00966A6D" w:rsidP="000C0B8B">
      <w:pPr>
        <w:pStyle w:val="ListParagraph"/>
        <w:ind w:left="0"/>
      </w:pPr>
      <w:r>
        <w:t>Y</w:t>
      </w:r>
      <w:r w:rsidR="00A63D6C">
        <w:t>ou incorrectly state</w:t>
      </w:r>
      <w:r w:rsidR="009D6B07">
        <w:t xml:space="preserve"> that</w:t>
      </w:r>
      <w:r w:rsidR="00A63D6C">
        <w:t xml:space="preserve"> </w:t>
      </w:r>
      <w:r w:rsidR="00EB77E4">
        <w:t xml:space="preserve">the </w:t>
      </w:r>
      <w:r w:rsidR="00A63D6C">
        <w:t>review</w:t>
      </w:r>
      <w:r w:rsidR="00EB77E4">
        <w:t>s</w:t>
      </w:r>
      <w:r w:rsidR="00A63D6C">
        <w:t xml:space="preserve"> to which Ms. Reilly submitted herself found </w:t>
      </w:r>
      <w:r w:rsidR="00EB77E4">
        <w:t xml:space="preserve">no </w:t>
      </w:r>
      <w:r w:rsidR="00A63D6C">
        <w:t>retaliation.</w:t>
      </w:r>
      <w:r w:rsidR="00EB77E4">
        <w:t xml:space="preserve"> </w:t>
      </w:r>
      <w:r w:rsidR="00A63D6C">
        <w:t xml:space="preserve">The correct accounting of what happened is worse than that for Ms. Reilly.  </w:t>
      </w:r>
      <w:r w:rsidR="00EB77E4">
        <w:t>For t</w:t>
      </w:r>
      <w:r w:rsidR="00A63D6C">
        <w:t xml:space="preserve">hree </w:t>
      </w:r>
      <w:r w:rsidR="006D0223">
        <w:t>allegations</w:t>
      </w:r>
      <w:r w:rsidR="009D6B07">
        <w:t xml:space="preserve"> filed by Ms. Reilly</w:t>
      </w:r>
      <w:r w:rsidR="00A63D6C">
        <w:t xml:space="preserve">, protected disclosures were identified, but no retaliation was found, </w:t>
      </w:r>
      <w:r w:rsidR="00A63D6C" w:rsidRPr="00966A6D">
        <w:rPr>
          <w:b/>
          <w:i/>
          <w:u w:val="single"/>
        </w:rPr>
        <w:t xml:space="preserve">and on the most serious </w:t>
      </w:r>
      <w:r w:rsidR="007F2346">
        <w:rPr>
          <w:b/>
          <w:i/>
          <w:u w:val="single"/>
        </w:rPr>
        <w:t>allegation</w:t>
      </w:r>
      <w:r w:rsidR="00A63D6C">
        <w:t xml:space="preserve">, the disclosure was not deemed protected and therefore, the </w:t>
      </w:r>
      <w:r w:rsidR="006D0223">
        <w:t>claim</w:t>
      </w:r>
      <w:r w:rsidR="00A63D6C">
        <w:t xml:space="preserve"> of retaliation was not </w:t>
      </w:r>
      <w:r w:rsidR="00613BD4">
        <w:t xml:space="preserve">even </w:t>
      </w:r>
      <w:r w:rsidR="00A63D6C">
        <w:t>examined.</w:t>
      </w:r>
    </w:p>
    <w:p w14:paraId="158A9FB1" w14:textId="244CD760" w:rsidR="00A63D6C" w:rsidRDefault="00A63D6C" w:rsidP="000C0B8B">
      <w:pPr>
        <w:pStyle w:val="ListParagraph"/>
        <w:ind w:left="0"/>
      </w:pPr>
    </w:p>
    <w:p w14:paraId="62A7F8C1" w14:textId="01310AED" w:rsidR="004269AF" w:rsidRDefault="004269AF" w:rsidP="00613BD4">
      <w:pPr>
        <w:pStyle w:val="ListParagraph"/>
        <w:ind w:left="0"/>
      </w:pPr>
      <w:r>
        <w:t xml:space="preserve">In this review of wrongdoing, the Ethics Officer </w:t>
      </w:r>
      <w:r w:rsidR="00613BD4">
        <w:t xml:space="preserve">documents how she, herself, failed to interview the whistleblower </w:t>
      </w:r>
      <w:r w:rsidR="00EA77CA">
        <w:t xml:space="preserve">and glossed over inconsistencies that would have prompted an honest broker to request an investigation.  For example, </w:t>
      </w:r>
      <w:r w:rsidR="006D0223">
        <w:t>the Ethics Officer did not concede that Ms. Reilly had a reasonable belief that misconduct had occurred, when she was instructed to inform the Chinese government of the identities of its human rights critics before they could leave China. I</w:t>
      </w:r>
      <w:r w:rsidR="00FB3807">
        <w:t xml:space="preserve">f </w:t>
      </w:r>
      <w:r w:rsidR="00966A6D">
        <w:t xml:space="preserve">exposing </w:t>
      </w:r>
      <w:r w:rsidR="00EA77CA">
        <w:t xml:space="preserve">human rights defenders’ (HRDs) </w:t>
      </w:r>
      <w:r w:rsidR="00966A6D">
        <w:t>identities</w:t>
      </w:r>
      <w:r w:rsidR="00EA77CA">
        <w:t xml:space="preserve"> to a </w:t>
      </w:r>
      <w:r w:rsidR="00966A6D">
        <w:t xml:space="preserve">potentially repressive </w:t>
      </w:r>
      <w:r w:rsidR="00EA77CA">
        <w:t>government before the</w:t>
      </w:r>
      <w:r w:rsidR="004630A9">
        <w:t xml:space="preserve"> dissidents</w:t>
      </w:r>
      <w:r w:rsidR="00EA77CA">
        <w:t xml:space="preserve"> </w:t>
      </w:r>
      <w:r w:rsidR="006D0223">
        <w:t xml:space="preserve">could </w:t>
      </w:r>
      <w:r w:rsidR="00966A6D">
        <w:t xml:space="preserve">reach the safety of another country </w:t>
      </w:r>
      <w:r w:rsidR="00EA77CA">
        <w:t xml:space="preserve">is not misconduct, why did one of Ms. Reilly’s alleged retaliators deny the practice when asked about it by a Member State delegate?   </w:t>
      </w:r>
    </w:p>
    <w:p w14:paraId="1ACDBE8A" w14:textId="77777777" w:rsidR="004269AF" w:rsidRDefault="004269AF" w:rsidP="000C0B8B">
      <w:pPr>
        <w:pStyle w:val="ListParagraph"/>
        <w:ind w:left="0"/>
      </w:pPr>
    </w:p>
    <w:p w14:paraId="7782BB83" w14:textId="03F64832" w:rsidR="00CE0127" w:rsidRDefault="009D6B07" w:rsidP="000C0B8B">
      <w:pPr>
        <w:pStyle w:val="ListParagraph"/>
        <w:ind w:left="0"/>
      </w:pPr>
      <w:r>
        <w:t xml:space="preserve">The problems I have identified are not inclusive.  However, </w:t>
      </w:r>
      <w:r w:rsidR="004269AF">
        <w:t>I have no access to a fair forum in which to make my argument</w:t>
      </w:r>
      <w:r w:rsidR="001522BE">
        <w:t>;</w:t>
      </w:r>
      <w:r w:rsidR="004269AF">
        <w:t xml:space="preserve"> I am reduced to writing to you and pointing out </w:t>
      </w:r>
      <w:r w:rsidR="001522BE">
        <w:t>red flags in this case that two reviewers have ignored</w:t>
      </w:r>
      <w:r w:rsidR="007F2346">
        <w:t>,</w:t>
      </w:r>
      <w:r w:rsidR="001522BE">
        <w:t xml:space="preserve"> as well as errors of fact in your letter to Mr. Kaye.</w:t>
      </w:r>
      <w:r w:rsidR="00A77935">
        <w:t xml:space="preserve"> For example, Ms. Reilly’s </w:t>
      </w:r>
      <w:r w:rsidR="00A77935">
        <w:lastRenderedPageBreak/>
        <w:t xml:space="preserve">assignment in Mauritania is not a measure of protection afforded her by the </w:t>
      </w:r>
      <w:r w:rsidR="00CE0127">
        <w:t>Ethics Office</w:t>
      </w:r>
      <w:r w:rsidR="00A77935">
        <w:t xml:space="preserve">.  It is </w:t>
      </w:r>
      <w:r w:rsidR="00CE0127">
        <w:t xml:space="preserve">the consequence of her own efforts to secure a transfer as a means </w:t>
      </w:r>
      <w:r w:rsidR="00A77935">
        <w:t>to escape reprisal after the Ethics Office left her without recourse.</w:t>
      </w:r>
    </w:p>
    <w:p w14:paraId="42DB3915" w14:textId="278C62F0" w:rsidR="00FB3807" w:rsidRDefault="00FB3807" w:rsidP="000C0B8B">
      <w:pPr>
        <w:pStyle w:val="ListParagraph"/>
        <w:ind w:left="0"/>
      </w:pPr>
    </w:p>
    <w:p w14:paraId="4FBC5047" w14:textId="1A36D6B4" w:rsidR="00FB3807" w:rsidRDefault="00FB3807" w:rsidP="000C0B8B">
      <w:pPr>
        <w:pStyle w:val="ListParagraph"/>
        <w:ind w:left="0"/>
      </w:pPr>
      <w:r>
        <w:t>More importantly, you repeat an error of fact that the two Ethics Officers each asserted: that Ms. Reilly</w:t>
      </w:r>
      <w:r w:rsidR="009D6B07">
        <w:t>’s</w:t>
      </w:r>
      <w:r>
        <w:t xml:space="preserve"> case was re-opened because she submitted new information.  She did not.  The case was reviewed again by a colleague of the Ethics Officer because of </w:t>
      </w:r>
      <w:r w:rsidR="006D0223">
        <w:t xml:space="preserve">the </w:t>
      </w:r>
      <w:r>
        <w:t xml:space="preserve">mishandling of the case by the first Ethics Officer.  </w:t>
      </w:r>
      <w:r w:rsidR="004630A9">
        <w:t>W</w:t>
      </w:r>
      <w:r>
        <w:t>e have a transcript of a phonecall in which the first Ethics Officer concedes as much.</w:t>
      </w:r>
    </w:p>
    <w:p w14:paraId="0F821D39" w14:textId="44A95D5D" w:rsidR="00FB3807" w:rsidRDefault="00FB3807" w:rsidP="000C0B8B">
      <w:pPr>
        <w:pStyle w:val="ListParagraph"/>
        <w:ind w:left="0"/>
      </w:pPr>
    </w:p>
    <w:p w14:paraId="306F982C" w14:textId="7089F192" w:rsidR="00FB3807" w:rsidRDefault="00FB3807" w:rsidP="000C0B8B">
      <w:pPr>
        <w:pStyle w:val="ListParagraph"/>
        <w:ind w:left="0"/>
      </w:pPr>
      <w:r>
        <w:t xml:space="preserve">Ms. Viotti, </w:t>
      </w:r>
      <w:r w:rsidR="009D6B07">
        <w:t>in</w:t>
      </w:r>
      <w:r>
        <w:t xml:space="preserve"> Ms. Reilly’s case, we find that you and the two Ethics Officers assert exactly the same factual errors</w:t>
      </w:r>
      <w:r w:rsidR="004630A9">
        <w:t>,</w:t>
      </w:r>
      <w:r>
        <w:t xml:space="preserve"> yet you insist on your independence.  </w:t>
      </w:r>
    </w:p>
    <w:p w14:paraId="4835F94D" w14:textId="77777777" w:rsidR="00FB3807" w:rsidRDefault="00FB3807" w:rsidP="000C0B8B">
      <w:pPr>
        <w:pStyle w:val="ListParagraph"/>
        <w:ind w:left="0"/>
      </w:pPr>
    </w:p>
    <w:p w14:paraId="6BB04A98" w14:textId="6C53C1C6" w:rsidR="009D6B07" w:rsidRDefault="00CE0127" w:rsidP="009D6B07">
      <w:pPr>
        <w:pStyle w:val="ListParagraph"/>
        <w:ind w:left="0"/>
      </w:pPr>
      <w:r>
        <w:t xml:space="preserve">In closing, I can only state </w:t>
      </w:r>
      <w:r w:rsidR="009D6B07">
        <w:t>that the</w:t>
      </w:r>
      <w:r>
        <w:t xml:space="preserve"> Ethics </w:t>
      </w:r>
      <w:r w:rsidR="00C858C6">
        <w:t>Office’s i</w:t>
      </w:r>
      <w:r>
        <w:t xml:space="preserve">ndependence is compromised by </w:t>
      </w:r>
      <w:r w:rsidRPr="00CE0127">
        <w:rPr>
          <w:b/>
          <w:i/>
          <w:u w:val="single"/>
        </w:rPr>
        <w:t>any</w:t>
      </w:r>
      <w:r>
        <w:t xml:space="preserve"> relationship to a party to </w:t>
      </w:r>
      <w:r w:rsidR="00C858C6">
        <w:t>the</w:t>
      </w:r>
      <w:r>
        <w:t xml:space="preserve"> dispute</w:t>
      </w:r>
      <w:r w:rsidR="00C858C6">
        <w:t>s it is called upon to resolve</w:t>
      </w:r>
      <w:r>
        <w:t xml:space="preserve">.  An objective third party resolving a dispute must not have a pre-existing relationship </w:t>
      </w:r>
      <w:r w:rsidR="00FB3807">
        <w:t xml:space="preserve">(financial or otherwise) </w:t>
      </w:r>
      <w:r>
        <w:t xml:space="preserve">with the </w:t>
      </w:r>
      <w:r w:rsidR="004630A9">
        <w:t>disputants</w:t>
      </w:r>
      <w:r>
        <w:t>.</w:t>
      </w:r>
      <w:r w:rsidR="00C858C6">
        <w:t xml:space="preserve">  Further, the </w:t>
      </w:r>
      <w:r>
        <w:t>Alternate Chair of the Ethics Panel is no more independent of management than the Ethics Office</w:t>
      </w:r>
      <w:r w:rsidR="00C858C6">
        <w:t>r</w:t>
      </w:r>
      <w:r>
        <w:t xml:space="preserve"> herself.  These people all know each other and work together.</w:t>
      </w:r>
      <w:r w:rsidR="00C858C6">
        <w:t xml:space="preserve">  They depend on each other for job transfers </w:t>
      </w:r>
      <w:r w:rsidR="00D22E93">
        <w:t xml:space="preserve">and </w:t>
      </w:r>
      <w:r w:rsidR="00C858C6">
        <w:t xml:space="preserve">for recommendations at work.  To try to present them as independent </w:t>
      </w:r>
      <w:r w:rsidR="00FB3807">
        <w:t xml:space="preserve">of each other and therefore insist that they review claims independently </w:t>
      </w:r>
      <w:r w:rsidR="00C858C6">
        <w:t xml:space="preserve">is </w:t>
      </w:r>
      <w:r w:rsidR="004630A9">
        <w:t>not persuasive</w:t>
      </w:r>
      <w:r w:rsidR="00C858C6">
        <w:t>.</w:t>
      </w:r>
      <w:r w:rsidR="001522BE">
        <w:t xml:space="preserve">  </w:t>
      </w:r>
    </w:p>
    <w:p w14:paraId="1A518E57" w14:textId="77777777" w:rsidR="00DB1FCE" w:rsidRDefault="00DB1FCE" w:rsidP="00DB1FCE">
      <w:r>
        <w:t>You write to Mr. Kaye: “I should start by emphasizing the deep commitment of the Secretary General to a strong and effective policy that protects whistleblowers from retaliation.”</w:t>
      </w:r>
    </w:p>
    <w:p w14:paraId="212AB649" w14:textId="198A0F38" w:rsidR="00DB1FCE" w:rsidRDefault="00DB1FCE" w:rsidP="00DB1FCE">
      <w:pPr>
        <w:pStyle w:val="ListParagraph"/>
        <w:ind w:left="0"/>
      </w:pPr>
      <w:r>
        <w:t xml:space="preserve">Ms. Viotti, with all due respect, no, you should not start your letter that way. You </w:t>
      </w:r>
      <w:r w:rsidR="0009160F">
        <w:t>might</w:t>
      </w:r>
      <w:r>
        <w:t xml:space="preserve"> start by explaining why it is that United Nations whistleblowers reporting vicious abuse, child rape, procurement fraud, etc. have departed the UN, while abusers, profiteers, and traffickers remain in place, undisciplined.  </w:t>
      </w:r>
    </w:p>
    <w:p w14:paraId="2F7ED3BF" w14:textId="77777777" w:rsidR="009D6B07" w:rsidRDefault="009D6B07" w:rsidP="009D6B07">
      <w:pPr>
        <w:pStyle w:val="ListParagraph"/>
        <w:ind w:left="0"/>
      </w:pPr>
    </w:p>
    <w:p w14:paraId="65E49CF5" w14:textId="558604C2" w:rsidR="00227B0D" w:rsidRDefault="009D6B07" w:rsidP="009D6B07">
      <w:pPr>
        <w:pStyle w:val="ListParagraph"/>
        <w:ind w:left="0"/>
      </w:pPr>
      <w:r>
        <w:t>Sincerely,</w:t>
      </w:r>
    </w:p>
    <w:p w14:paraId="2B9E31EE" w14:textId="6D77472A" w:rsidR="00227B0D" w:rsidRDefault="00227B0D" w:rsidP="000C0B8B">
      <w:pPr>
        <w:pStyle w:val="ListParagraph"/>
        <w:ind w:left="0"/>
      </w:pPr>
      <w:r>
        <w:rPr>
          <w:noProof/>
        </w:rPr>
        <w:drawing>
          <wp:inline distT="0" distB="0" distL="0" distR="0" wp14:anchorId="13F1F7E5" wp14:editId="44BFBEEB">
            <wp:extent cx="2143125" cy="581025"/>
            <wp:effectExtent l="0" t="0" r="9525" b="9525"/>
            <wp:docPr id="2" name="Picture 2" descr="Be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581025"/>
                    </a:xfrm>
                    <a:prstGeom prst="rect">
                      <a:avLst/>
                    </a:prstGeom>
                    <a:noFill/>
                    <a:ln>
                      <a:noFill/>
                    </a:ln>
                  </pic:spPr>
                </pic:pic>
              </a:graphicData>
            </a:graphic>
          </wp:inline>
        </w:drawing>
      </w:r>
    </w:p>
    <w:p w14:paraId="19D8F0F2" w14:textId="0CA13098" w:rsidR="00227B0D" w:rsidRDefault="00227B0D" w:rsidP="000C0B8B">
      <w:pPr>
        <w:pStyle w:val="ListParagraph"/>
        <w:ind w:left="0"/>
      </w:pPr>
      <w:r>
        <w:t>Beatrice Edwards</w:t>
      </w:r>
    </w:p>
    <w:p w14:paraId="1ED1F470" w14:textId="348FEDEB" w:rsidR="00227B0D" w:rsidRDefault="00227B0D" w:rsidP="000C0B8B">
      <w:pPr>
        <w:pStyle w:val="ListParagraph"/>
        <w:ind w:left="0"/>
      </w:pPr>
      <w:r w:rsidRPr="00227B0D">
        <w:t>Senior International Policy Analyst</w:t>
      </w:r>
    </w:p>
    <w:p w14:paraId="71DB8124" w14:textId="6D1E8839" w:rsidR="001522BE" w:rsidRDefault="001522BE" w:rsidP="000C0B8B">
      <w:pPr>
        <w:pStyle w:val="ListParagraph"/>
        <w:ind w:left="0"/>
      </w:pPr>
    </w:p>
    <w:p w14:paraId="475CF59B" w14:textId="77777777" w:rsidR="001522BE" w:rsidRPr="00CE0127" w:rsidRDefault="001522BE" w:rsidP="000C0B8B">
      <w:pPr>
        <w:pStyle w:val="ListParagraph"/>
        <w:ind w:left="0"/>
      </w:pPr>
    </w:p>
    <w:p w14:paraId="11465984" w14:textId="2575725D" w:rsidR="00CE0127" w:rsidRDefault="00CE0127" w:rsidP="000C0B8B">
      <w:pPr>
        <w:pStyle w:val="ListParagraph"/>
        <w:ind w:left="0"/>
      </w:pPr>
    </w:p>
    <w:p w14:paraId="25B1295C" w14:textId="1053F7D1" w:rsidR="00CE0127" w:rsidRDefault="00B03E7A" w:rsidP="000C0B8B">
      <w:pPr>
        <w:pStyle w:val="ListParagraph"/>
        <w:ind w:left="0"/>
      </w:pPr>
      <w:r>
        <w:t>Cc: David Kaye, UN Special Rapporteur for Freedom of Expression</w:t>
      </w:r>
    </w:p>
    <w:sectPr w:rsidR="00CE01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E9469" w14:textId="77777777" w:rsidR="00BB1FB2" w:rsidRDefault="00BB1FB2" w:rsidP="000C0B8B">
      <w:pPr>
        <w:spacing w:after="0" w:line="240" w:lineRule="auto"/>
      </w:pPr>
      <w:r>
        <w:separator/>
      </w:r>
    </w:p>
  </w:endnote>
  <w:endnote w:type="continuationSeparator" w:id="0">
    <w:p w14:paraId="27E09554" w14:textId="77777777" w:rsidR="00BB1FB2" w:rsidRDefault="00BB1FB2" w:rsidP="000C0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816935"/>
      <w:docPartObj>
        <w:docPartGallery w:val="Page Numbers (Bottom of Page)"/>
        <w:docPartUnique/>
      </w:docPartObj>
    </w:sdtPr>
    <w:sdtEndPr>
      <w:rPr>
        <w:noProof/>
      </w:rPr>
    </w:sdtEndPr>
    <w:sdtContent>
      <w:p w14:paraId="16E1276B" w14:textId="50DDF95C" w:rsidR="00B03E7A" w:rsidRDefault="00B03E7A">
        <w:pPr>
          <w:pStyle w:val="Footer"/>
          <w:jc w:val="right"/>
        </w:pPr>
        <w:r>
          <w:fldChar w:fldCharType="begin"/>
        </w:r>
        <w:r>
          <w:instrText xml:space="preserve"> PAGE   \* MERGEFORMAT </w:instrText>
        </w:r>
        <w:r>
          <w:fldChar w:fldCharType="separate"/>
        </w:r>
        <w:r w:rsidR="00427EBB">
          <w:rPr>
            <w:noProof/>
          </w:rPr>
          <w:t>2</w:t>
        </w:r>
        <w:r>
          <w:rPr>
            <w:noProof/>
          </w:rPr>
          <w:fldChar w:fldCharType="end"/>
        </w:r>
      </w:p>
    </w:sdtContent>
  </w:sdt>
  <w:p w14:paraId="06D08354" w14:textId="77777777" w:rsidR="006D0223" w:rsidRDefault="006D0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4C708" w14:textId="77777777" w:rsidR="00BB1FB2" w:rsidRDefault="00BB1FB2" w:rsidP="000C0B8B">
      <w:pPr>
        <w:spacing w:after="0" w:line="240" w:lineRule="auto"/>
      </w:pPr>
      <w:r>
        <w:separator/>
      </w:r>
    </w:p>
  </w:footnote>
  <w:footnote w:type="continuationSeparator" w:id="0">
    <w:p w14:paraId="227D843F" w14:textId="77777777" w:rsidR="00BB1FB2" w:rsidRDefault="00BB1FB2" w:rsidP="000C0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65E4F"/>
    <w:multiLevelType w:val="hybridMultilevel"/>
    <w:tmpl w:val="71321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586E24"/>
    <w:multiLevelType w:val="hybridMultilevel"/>
    <w:tmpl w:val="74B23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B"/>
    <w:rsid w:val="0009160F"/>
    <w:rsid w:val="000C0B8B"/>
    <w:rsid w:val="00136664"/>
    <w:rsid w:val="001522BE"/>
    <w:rsid w:val="00227B0D"/>
    <w:rsid w:val="00316BFE"/>
    <w:rsid w:val="00325CF9"/>
    <w:rsid w:val="003D023D"/>
    <w:rsid w:val="003F47D7"/>
    <w:rsid w:val="00403A28"/>
    <w:rsid w:val="004269AF"/>
    <w:rsid w:val="00427EBB"/>
    <w:rsid w:val="004630A9"/>
    <w:rsid w:val="00613BD4"/>
    <w:rsid w:val="006D0223"/>
    <w:rsid w:val="007C2098"/>
    <w:rsid w:val="007F2346"/>
    <w:rsid w:val="00826BCF"/>
    <w:rsid w:val="00966A6D"/>
    <w:rsid w:val="00981B6E"/>
    <w:rsid w:val="00990010"/>
    <w:rsid w:val="009D6B07"/>
    <w:rsid w:val="009E40EB"/>
    <w:rsid w:val="00A63D6C"/>
    <w:rsid w:val="00A77935"/>
    <w:rsid w:val="00B03E7A"/>
    <w:rsid w:val="00BB1FB2"/>
    <w:rsid w:val="00C858C6"/>
    <w:rsid w:val="00CE0127"/>
    <w:rsid w:val="00D22E93"/>
    <w:rsid w:val="00DB1FCE"/>
    <w:rsid w:val="00E05295"/>
    <w:rsid w:val="00E173F5"/>
    <w:rsid w:val="00EA77CA"/>
    <w:rsid w:val="00EB77E4"/>
    <w:rsid w:val="00EF5A2F"/>
    <w:rsid w:val="00F35F01"/>
    <w:rsid w:val="00FB3807"/>
    <w:rsid w:val="00FB66F9"/>
    <w:rsid w:val="00FD2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63F9D"/>
  <w15:docId w15:val="{C345E4B5-5C0E-4D4F-B340-B412865A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010"/>
    <w:pPr>
      <w:ind w:left="720"/>
      <w:contextualSpacing/>
    </w:pPr>
  </w:style>
  <w:style w:type="paragraph" w:styleId="Header">
    <w:name w:val="header"/>
    <w:basedOn w:val="Normal"/>
    <w:link w:val="HeaderChar"/>
    <w:uiPriority w:val="99"/>
    <w:unhideWhenUsed/>
    <w:rsid w:val="000C0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B8B"/>
  </w:style>
  <w:style w:type="paragraph" w:styleId="Footer">
    <w:name w:val="footer"/>
    <w:basedOn w:val="Normal"/>
    <w:link w:val="FooterChar"/>
    <w:uiPriority w:val="99"/>
    <w:unhideWhenUsed/>
    <w:rsid w:val="000C0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B8B"/>
  </w:style>
  <w:style w:type="paragraph" w:styleId="FootnoteText">
    <w:name w:val="footnote text"/>
    <w:basedOn w:val="Normal"/>
    <w:link w:val="FootnoteTextChar"/>
    <w:uiPriority w:val="99"/>
    <w:semiHidden/>
    <w:unhideWhenUsed/>
    <w:rsid w:val="004269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9AF"/>
    <w:rPr>
      <w:sz w:val="20"/>
      <w:szCs w:val="20"/>
    </w:rPr>
  </w:style>
  <w:style w:type="character" w:styleId="FootnoteReference">
    <w:name w:val="footnote reference"/>
    <w:basedOn w:val="DefaultParagraphFont"/>
    <w:uiPriority w:val="99"/>
    <w:semiHidden/>
    <w:unhideWhenUsed/>
    <w:rsid w:val="004269AF"/>
    <w:rPr>
      <w:vertAlign w:val="superscript"/>
    </w:rPr>
  </w:style>
  <w:style w:type="paragraph" w:styleId="BalloonText">
    <w:name w:val="Balloon Text"/>
    <w:basedOn w:val="Normal"/>
    <w:link w:val="BalloonTextChar"/>
    <w:uiPriority w:val="99"/>
    <w:semiHidden/>
    <w:unhideWhenUsed/>
    <w:rsid w:val="009D6B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B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CE9EA-EAFF-4496-A7ED-9F2C8D15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Edwards</dc:creator>
  <cp:keywords/>
  <dc:description/>
  <cp:lastModifiedBy>Luke Drabyn</cp:lastModifiedBy>
  <cp:revision>2</cp:revision>
  <dcterms:created xsi:type="dcterms:W3CDTF">2018-02-28T14:46:00Z</dcterms:created>
  <dcterms:modified xsi:type="dcterms:W3CDTF">2018-02-28T14:46:00Z</dcterms:modified>
</cp:coreProperties>
</file>